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imes New Roman"/>
                <w:sz w:val="24"/>
                <w:szCs w:val="24"/>
                <w:rtl w:val="0"/>
              </w:rPr>
              <w:t>Figure 7. Teaching Strategy Similarities</w:t>
            </w:r>
          </w:p>
        </w:tc>
      </w:tr>
    </w:tbl>
    <w:p>
      <w:pPr>
        <w:pStyle w:val="Body"/>
        <w:ind w:left="108" w:hanging="108"/>
      </w:pPr>
    </w:p>
    <w:tbl>
      <w:tblPr>
        <w:tblW w:w="936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2995" w:hRule="atLeast"/>
        </w:trPr>
        <w:tc>
          <w:tcPr>
            <w:tcW w:type="dxa" w:w="9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"/>
              <w:tabs>
                <w:tab w:val="clear" w:pos="115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Fonts w:ascii="Times New Roman Bold" w:cs="Times New Roman Bold" w:hAnsi="Times New Roman Bold" w:eastAsia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Art Teachers and Art Therapists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Fonts w:ascii="Times New Roman Bold" w:cs="Times New Roman Bold" w:hAnsi="Times New Roman Bold" w:eastAsia="Times New Roman Bold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Fonts w:ascii="Times New Roman" w:cs="Times New Roman" w:hAnsi="Times New Roman" w:eastAsia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Both had positive attitudes toward their students</w:t>
            </w:r>
            <w:r>
              <w:rPr>
                <w:rFonts w:hAnsi="Times New Roman" w:hint="default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fr-FR"/>
              </w:rPr>
              <w:t xml:space="preserve">’ </w:t>
            </w: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learning potential.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Fonts w:ascii="Times New Roman" w:cs="Times New Roman" w:hAnsi="Times New Roman" w:eastAsia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Both made constructive comments during lessons.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Fonts w:ascii="Times New Roman" w:cs="Times New Roman" w:hAnsi="Times New Roman" w:eastAsia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Both ensured a supportive learning environment for their students.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Fonts w:ascii="Times New Roman" w:cs="Times New Roman" w:hAnsi="Times New Roman" w:eastAsia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Both were reflective on their teaching experiences in the classroom.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Fonts w:ascii="Times New Roman" w:cs="Times New Roman" w:hAnsi="Times New Roman" w:eastAsia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Both used behavior modification techniques consistently and frequently to reinforce positive and constructive social behavior.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Fonts w:ascii="Times New Roman" w:cs="Times New Roman" w:hAnsi="Times New Roman" w:eastAsia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Routine was consistent in terms of procedures, setting, and individuals.</w:t>
            </w:r>
          </w:p>
          <w:p>
            <w:pPr>
              <w:pStyle w:val="Caption"/>
              <w:tabs>
                <w:tab w:val="clear" w:pos="115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en-US"/>
              </w:rPr>
              <w:t>Students shared feelings, ideas, and experiences and different viewpoints.</w:t>
            </w:r>
          </w:p>
        </w:tc>
      </w:tr>
    </w:tbl>
    <w:p>
      <w:pPr>
        <w:pStyle w:val="Body"/>
        <w:ind w:left="108" w:hanging="108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