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imes New Roman"/>
                <w:sz w:val="24"/>
                <w:szCs w:val="24"/>
                <w:rtl w:val="0"/>
              </w:rPr>
              <w:t>Figure1. Specifics of My Study</w:t>
            </w:r>
          </w:p>
        </w:tc>
      </w:tr>
      <w:tr>
        <w:tblPrEx>
          <w:shd w:val="clear" w:color="auto" w:fill="auto"/>
        </w:tblPrEx>
        <w:trPr>
          <w:trHeight w:val="2964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Participants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2 art teachers, 2 art therapists, and students with classification of autism on Individualized Education Plans (IEPs).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At the elementary level, one child with autism who originally was in the art therapist</w:t>
            </w:r>
            <w:r>
              <w:rPr>
                <w:rFonts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s class was mainstreamed in an inclusive art classroom with an art teacher.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At the middle school level, two children with autism in the art therapist</w:t>
            </w:r>
            <w:r>
              <w:rPr>
                <w:rFonts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s class were mainstreamed in an inclusion classroom with an art teacher.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Setting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2 self-contained art classrooms and 2 inclusion art classrooms.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Location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 xml:space="preserve">2 urban public schools at elementary and middle school levels of 1 urban district. </w:t>
            </w:r>
          </w:p>
        </w:tc>
      </w:tr>
      <w:tr>
        <w:tblPrEx>
          <w:shd w:val="clear" w:color="auto" w:fill="auto"/>
        </w:tblPrEx>
        <w:trPr>
          <w:trHeight w:val="2074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Data Collection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Written observation notes. Transcribed structured interviews of art professional participants documenting social interactions (physical behaviors and verbal communications). Photographs documenting the students</w:t>
            </w:r>
            <w:r>
              <w:rPr>
                <w:rFonts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fr-FR"/>
              </w:rPr>
              <w:t xml:space="preserve">’ </w:t>
            </w: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art process and art product. Written art lessons provided by art teachers and art therapists.</w:t>
            </w:r>
          </w:p>
        </w:tc>
      </w:tr>
      <w:tr>
        <w:tblPrEx>
          <w:shd w:val="clear" w:color="auto" w:fill="auto"/>
        </w:tblPrEx>
        <w:trPr>
          <w:trHeight w:val="1185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Time Duration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I observed and interviewed each of the 4 art professionals for 3 consecutive times, for a total of 12 times over a period of a few months.</w:t>
            </w:r>
          </w:p>
        </w:tc>
      </w:tr>
    </w:tbl>
    <w:p>
      <w:pPr>
        <w:pStyle w:val="Body"/>
        <w:ind w:left="108" w:hanging="108"/>
      </w:pPr>
      <w:r>
        <w:rPr>
          <w:rFonts w:ascii="Gill Sans" w:cs="Gill Sans" w:hAnsi="Gill Sans" w:eastAsia="Gill San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rFonts w:ascii="Times New Roman"/>
      </w:rPr>
    </w:pPr>
    <w:r>
      <w:rPr>
        <w:rFonts w:ascii="Times New Roman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